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65</w:t>
      </w:r>
    </w:p>
    <w:p>
      <w:r>
        <w:t>Bundesgericht (BGE), 1985-04-04, FR</w:t>
      </w:r>
    </w:p>
    <w:p>
      <w:r>
        <w:rPr>
          <w:b/>
        </w:rPr>
        <w:t xml:space="preserve">Quelle: </w:t>
      </w:r>
      <w:r>
        <w:t>https://mcp.opencaselaw.ch/entscheid/bge_111 V 65</w:t>
      </w:r>
    </w:p>
    <w:p>
      <w:r>
        <w:t>FR: ATF 111 V 65</w:t>
      </w:r>
    </w:p>
    <w:p>
      <w:r>
        <w:t>IT: DTF 111 V 65</w:t>
      </w:r>
    </w:p>
    <w:p>
      <w:pPr>
        <w:pStyle w:val="Heading2"/>
      </w:pPr>
      <w:r>
        <w:t>Regeste</w:t>
      </w:r>
    </w:p>
    <w:p>
      <w:r>
        <w:t>Regeste Art. 1 Abs. 2 lit. b AHVG, Art. 3 AHVV. Zeitpunkt, ab welchem die Befreiung von der Unterstellung unter die AHV ihre Wirkungen entfaltet (Bestätigung und Präzisierung der Rechtsprechung). Reicht der Versicherte das Gesuch innert drei Monaten seit seiner Aufnahme in die ausländische staatliche Alters- und Hinterlassenenversicherung ein, so erfolgt die Befreiung rückwirkend auf diesen Zeitpunkt (Erw. 2). Art. 4 BV: Schutz des guten Glaubens. Anspruch auf den Schutz des guten Glaubens hat ein Versicherter, der irregeführt wurde durch ein von der Verwaltung herausgegebenes Merkblatt, das ihm sein Arbeitgeber überreicht hatte und dessen Inhalt in dem Umfang überholt war, als es sich von einer neuen Verwaltungspraxis unterschied (Erw. 4).</w:t>
      </w:r>
    </w:p>
    <w:p>
      <w:pPr>
        <w:pStyle w:val="Heading2"/>
      </w:pPr>
      <w:r>
        <w:t>Erwägungen</w:t>
      </w:r>
    </w:p>
    <w:p>
      <w:r>
        <w:rPr>
          <w:b/>
        </w:rPr>
        <w:t>E. 1</w:t>
      </w:r>
    </w:p>
    <w:p>
      <w:r>
        <w:t>(Pouvoir d'examen limité, v. ATF 104 V 6 consid. 1.)</w:t>
      </w:r>
    </w:p>
    <w:p>
      <w:r>
        <w:rPr>
          <w:b/>
        </w:rPr>
        <w:t>E. 2</w:t>
      </w:r>
    </w:p>
    <w:p>
      <w:r>
        <w:t>a) Selon l' art. 1er al. 2 let. b LAVS , les personnes affiliées à une institution officielle étrangère d'assurance-vieillesse et survivants ne sont pas assujetties à l'AVS suisse si cette double assurance entraîne pour elles un cumul de charges trop lourdes. Elles sont exemptées de l'assurance obligatoire par la caisse de compensation compétente, sur présentation d'une requête ( art. 3 RAVS ). Les institutions de prévoyance de l'Organisation des Nations Unies font partie des "institutions officielles étrangères" au sens des dispositions précitées (art. 4 en corrélation avec l' art. 1er let . e RAVS). b) D'après la jurisprudence du Tribunal fédéral des assurances, l'exemption pour cause de cumul de charges trop lourdes a un caractère facultatif. Elle est subordonnée à une demande de l'assuré, et produit ses effets depuis le dépôt de la demande, sous réserve de solution contraire prévue par une convention de sécurité sociale, et de certains cas particuliers dans lesquels il est concevable de concéder des aménagements, par exemple lors d'un premier assujettissement sans paiement de cotisations jusqu'au moment du dépôt de la demande, ou lors d'une affiliation rétroactive à l'assurance obligatoire étrangère ( ATF 98 V 183 ; RCC 1982 p. 173 consid. 2). Pendant de nombreuses années, la pratique de la Caisse cantonale genevoise de compensation a cependant consisté à accorder aux assurés concernés un "délai de grâce" d'un an, durant lequel ils pouvaient demander leur exemption de l'assurance obligatoire avec effet rétroactif à la date de leur admission à la caisse des pensions de l'ONU, ce qui explique le libellé de la formule (requête d'exemption) remise, notamment, à la recourante. Cette pratique, bien que critiquable au regard des principes rappelés ci-dessus, a été tolérée par la jurisprudence du Tribunal fédéral des assurances (RCC 1982 p. 173 consid. 2 précité). Or, il résulte du dossier - et en particulier des BGE 111 V 65 S. 68 explications fournies, à la demande de la Cour de céans, par la caisse intimée - qu'à la suite d'un réexamen, en 1981, de la procédure qu'elle suivait en la matière, la Caisse cantonale genevoise de compensation a été amenée à renoncer à ladite pratique, qu'elle a jugée, avec raison, peu conforme au droit, pour n'accorder à l'avenir, dans tous les cas, l'exemption qu'avec effet dès le mois suivant le dépôt de la demande. Cette modification a créé, temporairement, un état de confusion administrative. En effet, les directives existantes de la Caisse cantonale genevoise de compensation en la matière - en particulier le "Mémento à l'intention des ressortissants suisses, membres du personnel des organisations intergouvernementales dont le siège est à Genève", publié en septembre 1975 - ainsi que les requêtes d'exemption imprimées, habituellement distribuées par la caisse aux assurés, ont été adaptées à cette nouvelle pratique après coup seulement, de sorte que le cercle des employeurs et des assurés concernés (soit notamment l'ONU, les institutions internationales qui en dépendent, ainsi que leur personnel de nationalité suisse) n'en a été informé qu'avec plusieurs mois de retard. A cela s'ajoute le fait que les délais dans lesquels la caisse intimée traite les cas des assurés qui lui sont annoncés périodiquement, semble-t-il, par lesdits employeurs, aux fins d'être invités à s'affilier ou à demander l'exemption de l'assurance obligatoire, sont parfois très longs. Aussi n'est-il pas exclu que cette situation ait provoqué une insécurité juridique pouvant conduire, selon les circonstances du cas concret et à des conditions déterminées relatives à la protection de la bonne foi, à excuser le fait que certains assurés ont tardé à présenter leur requête d'exemption. c) Si cette modification de la pratique administrative était en soi pleinement justifiée, le principe selon lequel l'exemption de l'affiliation à l'assurance obligatoire ne peut être accordée, sauf exceptions, qu'avec effet dès le mois suivant la présentation de la requête s'avère toutefois trop rigoureux. Il convient, en effet, de donner aux assurés la possibilité d'examiner, au besoin en s'adressant à la caisse de compensation compétente, leur statut à l'égard de l'AVS, et de régler la question de leur exemption éventuelle de l'assurance, dans un délai raisonnable à compter de leur affiliation à l'institution étrangère d'assurance-vieillesse et survivants, sans que - en cas d'exemption - une affiliation à l'assurance obligatoire suisse intervienne pour cette brève période. Aussi, l'Office fédéral des assurances sociales a-t-il relevé qu'un tel BGE 111 V 65 S. 69 délai s'imposait pour des raisons pratiques. Dans l'édition la plus récente de sa circulaire sur l'assujettissement à l'assurance (CAA), entrée en vigueur le 1er janvier 1985, il a posé la règle que l'exemption, si elle vaut en principe pour l'avenir et prend effet le premier jour du mois suivant le dépôt de la requête, a un effet rétroactif notamment (en plus des cas particuliers mentionnés par les arrêts cités au consid. 2b ci-dessus) lorsque l'assuré requiert son exemption dans les trois mois qui suivent son adhésion à la caisse de pension d'une organisation internationale (ch. marg. 112 de ladite circulaire). Cette directive de l'autorité fédérale de surveillance concrétise et complète de manière pertinente les exemples cités par la jurisprudence, dans lesquels l'effet rétroactif de la demande d'exemption a été considéré comme admissible ou souhaitable. En outre, un délai de trois mois peut être qualifié d'adéquat, de sorte que la Cour de céans n'a pas de motifs de s'écarter de l'appréciation de l'Office fédéral, et qu'il y a lieu de s'en tenir à cette solution. En l'espèce, celle-ci n'est toutefois pas de nature à influer sur le sort de la cause, la demande d'exemption de l'assujettissement à l'AVS ayant été présentée bien après l'expiration de ce délai.</w:t>
      </w:r>
    </w:p>
    <w:p>
      <w:r>
        <w:rPr>
          <w:b/>
        </w:rPr>
        <w:t>E. 3</w:t>
      </w:r>
    </w:p>
    <w:p>
      <w:r>
        <w:t>Catherine Moutia a cotisé à l'AVS antérieurement à son engagement par l'Organisation mondiale de la santé, le 1er octobre 1981, de sorte que son affiliation à l'AVS dès cette date ne constitue pas un premier assujettissement au sens de la jurisprudence (consid. 2b ci-dessus). En outre, elle n'a pas adhéré à la Caisse commune des pensions du personnel des Nations Unies avec effet rétroactif. Il est vrai que la recourante a déclaré en première instance que, ayant été dans le passé employée par l'OMS, elle devait racheter sept années de cotisations à ladite caisse des pensions. Mais il ne s'agit pas là d'une affiliation obligatoire à l'assurance étrangère puisque, en pareille situation, c'est volontairement que l'intéressé verse une prime de rachat unique ou, comme dans le cas de la recourante, des primes mensuelles pour une période antérieure. Il s'ensuit qu'aucune des conditions auxquelles la jurisprudence subordonne l'exemption de l'AVS avec effet rétroactif n'est remplie en l'espèce, l'hypothèse d'une solution particulière prévue par une convention de sécurité sociale étant, par ailleurs, exclue.</w:t>
      </w:r>
    </w:p>
    <w:p>
      <w:r>
        <w:rPr>
          <w:b/>
        </w:rPr>
        <w:t>E. 4</w:t>
      </w:r>
    </w:p>
    <w:p>
      <w:r>
        <w:t>qu'il se soit fondé sur celui-ci pour prendre des dispositions qu'il ne saurait modifier sans subir un préjudice;</w:t>
      </w:r>
    </w:p>
    <w:p>
      <w:r>
        <w:rPr>
          <w:b/>
        </w:rPr>
        <w:t>E. 5</w:t>
      </w:r>
    </w:p>
    <w:p>
      <w:r>
        <w:t>La recourante doit dès lors être mise au bénéfice de l'exemption de l'assujettissement à l'AVS à partir du 1er octobre 1981, date de son affiliation à la Caisse commune des pensions du personnel des Nations Unies...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